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Segoe UI"/>
          <w:color w:val="000000"/>
          <w:sz w:val="22"/>
          <w:szCs w:val="22"/>
          <w:u w:val="single"/>
        </w:rPr>
        <w:t>14479 16 Avenue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, 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proofErr w:type="spellStart"/>
      <w:r w:rsidRPr="00BC05DD">
        <w:rPr>
          <w:rFonts w:ascii="PMingLiU" w:eastAsia="PMingLiU" w:hAnsi="PMingLiU" w:cs="Segoe UI"/>
          <w:color w:val="000000"/>
          <w:sz w:val="22"/>
          <w:szCs w:val="22"/>
        </w:rPr>
        <w:t>Bayridge</w:t>
      </w:r>
      <w:proofErr w:type="spellEnd"/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$599,900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房屋面积：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1,362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平方呎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/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占地面积：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7,200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平方呎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地濶：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60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呎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/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长：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120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呎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2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睡房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/1.5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洗手间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可由後巷出入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首次置业丶收租最佳选择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校区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: </w:t>
      </w:r>
      <w:proofErr w:type="spellStart"/>
      <w:r w:rsidRPr="00BC05DD">
        <w:rPr>
          <w:rFonts w:ascii="PMingLiU" w:eastAsia="PMingLiU" w:hAnsi="PMingLiU" w:cs="Segoe UI"/>
          <w:color w:val="000000"/>
          <w:sz w:val="22"/>
          <w:szCs w:val="22"/>
        </w:rPr>
        <w:t>Bayridge</w:t>
      </w:r>
      <w:proofErr w:type="spellEnd"/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小学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&amp; </w:t>
      </w:r>
      <w:proofErr w:type="spellStart"/>
      <w:r w:rsidRPr="00BC05DD">
        <w:rPr>
          <w:rFonts w:ascii="PMingLiU" w:eastAsia="PMingLiU" w:hAnsi="PMingLiU" w:cs="Segoe UI"/>
          <w:color w:val="000000"/>
          <w:sz w:val="22"/>
          <w:szCs w:val="22"/>
        </w:rPr>
        <w:t>Semiahmoo</w:t>
      </w:r>
      <w:proofErr w:type="spellEnd"/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中学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可步行到附近商店</w:t>
      </w:r>
      <w:r w:rsidRPr="00BC05DD">
        <w:rPr>
          <w:rFonts w:ascii="PMingLiU" w:eastAsia="PMingLiU" w:hAnsi="PMingLiU" w:cs="Calibri"/>
          <w:color w:val="000000"/>
          <w:sz w:val="22"/>
          <w:szCs w:val="22"/>
        </w:rPr>
        <w:t xml:space="preserve"> 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 w:hint="eastAsia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巴士路线，交通方便，数分钟车达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>99</w:t>
      </w:r>
      <w:r w:rsidR="00A016A4" w:rsidRPr="00A016A4">
        <w:rPr>
          <w:rFonts w:ascii="PMingLiU" w:eastAsia="PMingLiU" w:hAnsi="PMingLiU" w:cs="Segoe UI" w:hint="eastAsia"/>
          <w:color w:val="000000"/>
          <w:sz w:val="22"/>
          <w:szCs w:val="22"/>
        </w:rPr>
        <w:t>号高速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屋前丶後均可泊车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新厨房电器丶新高效能暖气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丶热水箱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 </w:t>
      </w:r>
    </w:p>
    <w:p w:rsidR="00BC05DD" w:rsidRPr="00BC05DD" w:rsidRDefault="00BC05DD" w:rsidP="00BC05DD">
      <w:pPr>
        <w:pStyle w:val="ecxmsonormal"/>
        <w:rPr>
          <w:rFonts w:ascii="PMingLiU" w:eastAsia="PMingLiU" w:hAnsi="PMingLiU" w:cs="Segoe UI"/>
          <w:color w:val="000000"/>
          <w:sz w:val="22"/>
          <w:szCs w:val="22"/>
        </w:rPr>
      </w:pP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改建：</w:t>
      </w:r>
      <w:proofErr w:type="spellStart"/>
      <w:r w:rsidRPr="00BC05DD">
        <w:rPr>
          <w:rFonts w:ascii="PMingLiU" w:eastAsia="PMingLiU" w:hAnsi="PMingLiU" w:cs="Segoe UI"/>
          <w:color w:val="000000"/>
          <w:sz w:val="22"/>
          <w:szCs w:val="22"/>
        </w:rPr>
        <w:t>RF</w:t>
      </w:r>
      <w:proofErr w:type="spellEnd"/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Zoning(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单一家庭住宅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) -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最高可建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9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米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(30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呎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>)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，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面积比率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>38%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，可出租第二套间单位，土地前後需预留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7.5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米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 xml:space="preserve"> (25 </w:t>
      </w:r>
      <w:r w:rsidRPr="00BC05DD">
        <w:rPr>
          <w:rFonts w:ascii="PMingLiU" w:eastAsia="PMingLiU" w:hAnsi="PMingLiU" w:cs="MingLiU" w:hint="eastAsia"/>
          <w:color w:val="000000"/>
          <w:sz w:val="22"/>
          <w:szCs w:val="22"/>
        </w:rPr>
        <w:t>呎</w:t>
      </w:r>
      <w:r w:rsidRPr="00BC05DD">
        <w:rPr>
          <w:rFonts w:ascii="PMingLiU" w:eastAsia="PMingLiU" w:hAnsi="PMingLiU" w:cs="Segoe UI"/>
          <w:color w:val="000000"/>
          <w:sz w:val="22"/>
          <w:szCs w:val="22"/>
        </w:rPr>
        <w:t>)</w:t>
      </w:r>
    </w:p>
    <w:sectPr w:rsidR="00BC05DD" w:rsidRPr="00BC05DD" w:rsidSect="00BC05DD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5C3"/>
    <w:rsid w:val="002025F9"/>
    <w:rsid w:val="0026454D"/>
    <w:rsid w:val="004A102D"/>
    <w:rsid w:val="004E0A11"/>
    <w:rsid w:val="005145C3"/>
    <w:rsid w:val="0065419C"/>
    <w:rsid w:val="00791D40"/>
    <w:rsid w:val="00A016A4"/>
    <w:rsid w:val="00AD158D"/>
    <w:rsid w:val="00BC05DD"/>
    <w:rsid w:val="00CC617E"/>
    <w:rsid w:val="00D8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C05DD"/>
    <w:pPr>
      <w:spacing w:before="0"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Coniston</dc:creator>
  <cp:lastModifiedBy>Coniston</cp:lastModifiedBy>
  <cp:revision>3</cp:revision>
  <dcterms:created xsi:type="dcterms:W3CDTF">2015-03-13T17:17:00Z</dcterms:created>
  <dcterms:modified xsi:type="dcterms:W3CDTF">2015-03-13T17:44:00Z</dcterms:modified>
</cp:coreProperties>
</file>